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0C7B" w14:textId="037BAB6E" w:rsidR="003A2F03" w:rsidRPr="00351C3B" w:rsidRDefault="00B1014C">
      <w:pPr>
        <w:jc w:val="both"/>
        <w:rPr>
          <w:lang w:val="fr-FR"/>
        </w:rPr>
      </w:pPr>
      <w:bookmarkStart w:id="0" w:name="_Hlk97660673"/>
      <w:r w:rsidRPr="00351C3B">
        <w:rPr>
          <w:lang w:val="fr-FR"/>
        </w:rPr>
        <w:t>Communiqué de presse n. 2/2022</w:t>
      </w:r>
    </w:p>
    <w:p w14:paraId="087FA726" w14:textId="77777777" w:rsidR="003A2F03" w:rsidRPr="00351C3B" w:rsidRDefault="003A2F03">
      <w:pPr>
        <w:jc w:val="both"/>
        <w:rPr>
          <w:lang w:val="fr-FR"/>
        </w:rPr>
      </w:pPr>
    </w:p>
    <w:p w14:paraId="01881AED" w14:textId="1076FD9E" w:rsidR="003A2F03" w:rsidRPr="00351C3B" w:rsidRDefault="00B1014C">
      <w:pPr>
        <w:pStyle w:val="P68B1DB1-Normale1"/>
        <w:jc w:val="both"/>
        <w:rPr>
          <w:lang w:val="fr-FR"/>
        </w:rPr>
      </w:pPr>
      <w:r w:rsidRPr="00351C3B">
        <w:rPr>
          <w:lang w:val="fr-FR"/>
        </w:rPr>
        <w:t>EIMA 2022</w:t>
      </w:r>
      <w:r w:rsidR="00CE27F4" w:rsidRPr="00351C3B">
        <w:rPr>
          <w:lang w:val="fr-FR"/>
        </w:rPr>
        <w:t> </w:t>
      </w:r>
      <w:r w:rsidRPr="00351C3B">
        <w:rPr>
          <w:lang w:val="fr-FR"/>
        </w:rPr>
        <w:t xml:space="preserve">: marché mondial et agriculture méditerranéenne </w:t>
      </w:r>
    </w:p>
    <w:p w14:paraId="5D7DAD2B" w14:textId="77777777" w:rsidR="003A2F03" w:rsidRPr="00351C3B" w:rsidRDefault="003A2F03">
      <w:pPr>
        <w:jc w:val="both"/>
        <w:rPr>
          <w:lang w:val="fr-FR"/>
        </w:rPr>
      </w:pPr>
    </w:p>
    <w:p w14:paraId="396937DE" w14:textId="7E9482B6" w:rsidR="003A2F03" w:rsidRPr="00351C3B" w:rsidRDefault="00B1014C">
      <w:pPr>
        <w:pStyle w:val="P68B1DB1-Normale2"/>
        <w:jc w:val="both"/>
        <w:rPr>
          <w:lang w:val="fr-FR"/>
        </w:rPr>
      </w:pPr>
      <w:r w:rsidRPr="00351C3B">
        <w:rPr>
          <w:lang w:val="fr-FR"/>
        </w:rPr>
        <w:t>La 45</w:t>
      </w:r>
      <w:r w:rsidRPr="00351C3B">
        <w:rPr>
          <w:vertAlign w:val="superscript"/>
          <w:lang w:val="fr-FR"/>
        </w:rPr>
        <w:t>e</w:t>
      </w:r>
      <w:r w:rsidRPr="00351C3B">
        <w:rPr>
          <w:lang w:val="fr-FR"/>
        </w:rPr>
        <w:t xml:space="preserve"> édition du grand salon, prévue à Bologne du 9 au 13 novembre, représente une plateforme pour l'innovation dans l'agriculture. Les technologies pour les cultures spécialisées et à haute valeur ajoutée typiques de la Méditerranée y sont au premier plan. Les salons Agrilevante et Enoliexpo sont entièrement intégrés à EIMA International</w:t>
      </w:r>
    </w:p>
    <w:p w14:paraId="14911E83" w14:textId="77777777" w:rsidR="003A2F03" w:rsidRPr="00351C3B" w:rsidRDefault="003A2F03">
      <w:pPr>
        <w:jc w:val="both"/>
        <w:rPr>
          <w:lang w:val="fr-FR"/>
        </w:rPr>
      </w:pPr>
    </w:p>
    <w:p w14:paraId="1E4C396B" w14:textId="593FE98A" w:rsidR="003A2F03" w:rsidRPr="00351C3B" w:rsidRDefault="00B1014C">
      <w:pPr>
        <w:jc w:val="both"/>
        <w:rPr>
          <w:lang w:val="fr-FR"/>
        </w:rPr>
      </w:pPr>
      <w:r w:rsidRPr="00351C3B">
        <w:rPr>
          <w:lang w:val="fr-FR"/>
        </w:rPr>
        <w:t>Le marché mondial des machines agricoles est en pleine croissance dans tous les pays principaux. Les ventes de tracteurs en 2021</w:t>
      </w:r>
      <w:r w:rsidR="00CE27F4" w:rsidRPr="00351C3B">
        <w:rPr>
          <w:lang w:val="fr-FR"/>
        </w:rPr>
        <w:t xml:space="preserve"> </w:t>
      </w:r>
      <w:r w:rsidRPr="00351C3B">
        <w:rPr>
          <w:lang w:val="fr-FR"/>
        </w:rPr>
        <w:t>ont enregistré des augmentations de 10</w:t>
      </w:r>
      <w:r w:rsidR="00CE27F4" w:rsidRPr="00351C3B">
        <w:rPr>
          <w:lang w:val="fr-FR"/>
        </w:rPr>
        <w:t> </w:t>
      </w:r>
      <w:r w:rsidRPr="00351C3B">
        <w:rPr>
          <w:lang w:val="fr-FR"/>
        </w:rPr>
        <w:t>% aux États-Unis (318</w:t>
      </w:r>
      <w:r w:rsidR="00CE27F4" w:rsidRPr="00351C3B">
        <w:rPr>
          <w:lang w:val="fr-FR"/>
        </w:rPr>
        <w:t> </w:t>
      </w:r>
      <w:r w:rsidRPr="00351C3B">
        <w:rPr>
          <w:lang w:val="fr-FR"/>
        </w:rPr>
        <w:t>000 unités), 13</w:t>
      </w:r>
      <w:r w:rsidR="00CE27F4" w:rsidRPr="00351C3B">
        <w:rPr>
          <w:lang w:val="fr-FR"/>
        </w:rPr>
        <w:t> </w:t>
      </w:r>
      <w:r w:rsidRPr="00351C3B">
        <w:rPr>
          <w:lang w:val="fr-FR"/>
        </w:rPr>
        <w:t>% en Inde (900</w:t>
      </w:r>
      <w:r w:rsidR="00CE27F4" w:rsidRPr="00351C3B">
        <w:rPr>
          <w:lang w:val="fr-FR"/>
        </w:rPr>
        <w:t> </w:t>
      </w:r>
      <w:r w:rsidRPr="00351C3B">
        <w:rPr>
          <w:lang w:val="fr-FR"/>
        </w:rPr>
        <w:t>000) et 17</w:t>
      </w:r>
      <w:r w:rsidR="00CE27F4" w:rsidRPr="00351C3B">
        <w:rPr>
          <w:lang w:val="fr-FR"/>
        </w:rPr>
        <w:t> </w:t>
      </w:r>
      <w:r w:rsidRPr="00351C3B">
        <w:rPr>
          <w:lang w:val="fr-FR"/>
        </w:rPr>
        <w:t>% en Europe (180</w:t>
      </w:r>
      <w:r w:rsidR="00CE27F4" w:rsidRPr="00351C3B">
        <w:rPr>
          <w:lang w:val="fr-FR"/>
        </w:rPr>
        <w:t> </w:t>
      </w:r>
      <w:r w:rsidRPr="00351C3B">
        <w:rPr>
          <w:lang w:val="fr-FR"/>
        </w:rPr>
        <w:t>000). Particulièrement brillante, dans le «</w:t>
      </w:r>
      <w:r w:rsidR="00CE27F4" w:rsidRPr="00351C3B">
        <w:rPr>
          <w:lang w:val="fr-FR"/>
        </w:rPr>
        <w:t> </w:t>
      </w:r>
      <w:r w:rsidRPr="00351C3B">
        <w:rPr>
          <w:lang w:val="fr-FR"/>
        </w:rPr>
        <w:t>vieux continent</w:t>
      </w:r>
      <w:r w:rsidR="00CE27F4" w:rsidRPr="00351C3B">
        <w:rPr>
          <w:lang w:val="fr-FR"/>
        </w:rPr>
        <w:t> </w:t>
      </w:r>
      <w:r w:rsidRPr="00351C3B">
        <w:rPr>
          <w:lang w:val="fr-FR"/>
        </w:rPr>
        <w:t>», la performance des marchés de la zone méditerranéenne, entraînée par l'Italie qui est au plus haut depuis 2010 avec un +</w:t>
      </w:r>
      <w:r w:rsidR="00CE27F4" w:rsidRPr="00351C3B">
        <w:rPr>
          <w:lang w:val="fr-FR"/>
        </w:rPr>
        <w:t> </w:t>
      </w:r>
      <w:r w:rsidRPr="00351C3B">
        <w:rPr>
          <w:lang w:val="fr-FR"/>
        </w:rPr>
        <w:t>36</w:t>
      </w:r>
      <w:r w:rsidR="00CE27F4" w:rsidRPr="00351C3B">
        <w:rPr>
          <w:lang w:val="fr-FR"/>
        </w:rPr>
        <w:t> </w:t>
      </w:r>
      <w:r w:rsidRPr="00351C3B">
        <w:rPr>
          <w:lang w:val="fr-FR"/>
        </w:rPr>
        <w:t>% conséquent. Progression à deux chiffres également pour la Turquie (+</w:t>
      </w:r>
      <w:r w:rsidR="00CE27F4" w:rsidRPr="00351C3B">
        <w:rPr>
          <w:lang w:val="fr-FR"/>
        </w:rPr>
        <w:t> </w:t>
      </w:r>
      <w:r w:rsidRPr="00351C3B">
        <w:rPr>
          <w:lang w:val="fr-FR"/>
        </w:rPr>
        <w:t>24</w:t>
      </w:r>
      <w:r w:rsidR="00CE27F4" w:rsidRPr="00351C3B">
        <w:rPr>
          <w:lang w:val="fr-FR"/>
        </w:rPr>
        <w:t> </w:t>
      </w:r>
      <w:r w:rsidRPr="00351C3B">
        <w:rPr>
          <w:lang w:val="fr-FR"/>
        </w:rPr>
        <w:t>%) et la Grèce (+</w:t>
      </w:r>
      <w:r w:rsidR="00CE27F4" w:rsidRPr="00351C3B">
        <w:rPr>
          <w:lang w:val="fr-FR"/>
        </w:rPr>
        <w:t> </w:t>
      </w:r>
      <w:r w:rsidRPr="00351C3B">
        <w:rPr>
          <w:lang w:val="fr-FR"/>
        </w:rPr>
        <w:t>32</w:t>
      </w:r>
      <w:r w:rsidR="00CE27F4" w:rsidRPr="00351C3B">
        <w:rPr>
          <w:lang w:val="fr-FR"/>
        </w:rPr>
        <w:t> </w:t>
      </w:r>
      <w:r w:rsidRPr="00351C3B">
        <w:rPr>
          <w:lang w:val="fr-FR"/>
        </w:rPr>
        <w:t xml:space="preserve">%), tandis que l'Espagne </w:t>
      </w:r>
      <w:r w:rsidR="00CE27F4" w:rsidRPr="00351C3B">
        <w:rPr>
          <w:lang w:val="fr-FR"/>
        </w:rPr>
        <w:t>enregistre</w:t>
      </w:r>
      <w:r w:rsidRPr="00351C3B">
        <w:rPr>
          <w:lang w:val="fr-FR"/>
        </w:rPr>
        <w:t xml:space="preserve"> +</w:t>
      </w:r>
      <w:r w:rsidR="00CE27F4" w:rsidRPr="00351C3B">
        <w:rPr>
          <w:lang w:val="fr-FR"/>
        </w:rPr>
        <w:t> </w:t>
      </w:r>
      <w:r w:rsidRPr="00351C3B">
        <w:rPr>
          <w:lang w:val="fr-FR"/>
        </w:rPr>
        <w:t>9,3</w:t>
      </w:r>
      <w:r w:rsidR="00CE27F4" w:rsidRPr="00351C3B">
        <w:rPr>
          <w:lang w:val="fr-FR"/>
        </w:rPr>
        <w:t> </w:t>
      </w:r>
      <w:r w:rsidRPr="00351C3B">
        <w:rPr>
          <w:lang w:val="fr-FR"/>
        </w:rPr>
        <w:t>%, suivie de la France (+</w:t>
      </w:r>
      <w:r w:rsidR="00CE27F4" w:rsidRPr="00351C3B">
        <w:rPr>
          <w:lang w:val="fr-FR"/>
        </w:rPr>
        <w:t> </w:t>
      </w:r>
      <w:r w:rsidRPr="00351C3B">
        <w:rPr>
          <w:lang w:val="fr-FR"/>
        </w:rPr>
        <w:t>9,2</w:t>
      </w:r>
      <w:r w:rsidR="00CE27F4" w:rsidRPr="00351C3B">
        <w:rPr>
          <w:lang w:val="fr-FR"/>
        </w:rPr>
        <w:t> </w:t>
      </w:r>
      <w:r w:rsidRPr="00351C3B">
        <w:rPr>
          <w:lang w:val="fr-FR"/>
        </w:rPr>
        <w:t xml:space="preserve">%). Malgré les indices positifs de l'Europe du Sud, le bilan global de la région méditerranéenne doit tenir compte des ralentissements observés dans les </w:t>
      </w:r>
      <w:r w:rsidR="00CB275C">
        <w:rPr>
          <w:lang w:val="fr-FR"/>
        </w:rPr>
        <w:t>P</w:t>
      </w:r>
      <w:r w:rsidRPr="00351C3B">
        <w:rPr>
          <w:lang w:val="fr-FR"/>
        </w:rPr>
        <w:t>ays d'Afrique du Nord qui n'ont pas encore entamé leur reprise. En l'absence de données définitives sur les ventes sur ces marchés, un indicateur significatif est celui relatif aux données d'importation en valeur, puisque la demande locale est majoritairement satisfaite par l'achat de machines à l'étranger. A l'exception de la Tunisie (+</w:t>
      </w:r>
      <w:r w:rsidR="00CE27F4" w:rsidRPr="00351C3B">
        <w:rPr>
          <w:lang w:val="fr-FR"/>
        </w:rPr>
        <w:t> </w:t>
      </w:r>
      <w:r w:rsidRPr="00351C3B">
        <w:rPr>
          <w:lang w:val="fr-FR"/>
        </w:rPr>
        <w:t>10</w:t>
      </w:r>
      <w:r w:rsidR="00CE27F4" w:rsidRPr="00351C3B">
        <w:rPr>
          <w:lang w:val="fr-FR"/>
        </w:rPr>
        <w:t> </w:t>
      </w:r>
      <w:r w:rsidRPr="00351C3B">
        <w:rPr>
          <w:lang w:val="fr-FR"/>
        </w:rPr>
        <w:t>%), toute la zone de l'Afrique du Nord a connu une contraction des importations en 2021. Plus consistante pour l'Algérie (-</w:t>
      </w:r>
      <w:r w:rsidR="00CE27F4" w:rsidRPr="00351C3B">
        <w:rPr>
          <w:lang w:val="fr-FR"/>
        </w:rPr>
        <w:t> </w:t>
      </w:r>
      <w:r w:rsidRPr="00351C3B">
        <w:rPr>
          <w:lang w:val="fr-FR"/>
        </w:rPr>
        <w:t>34</w:t>
      </w:r>
      <w:r w:rsidR="00CE27F4" w:rsidRPr="00351C3B">
        <w:rPr>
          <w:lang w:val="fr-FR"/>
        </w:rPr>
        <w:t> </w:t>
      </w:r>
      <w:r w:rsidRPr="00351C3B">
        <w:rPr>
          <w:lang w:val="fr-FR"/>
        </w:rPr>
        <w:t>%) et l'Egypte (-</w:t>
      </w:r>
      <w:r w:rsidR="00CE27F4" w:rsidRPr="00351C3B">
        <w:rPr>
          <w:lang w:val="fr-FR"/>
        </w:rPr>
        <w:t> </w:t>
      </w:r>
      <w:r w:rsidRPr="00351C3B">
        <w:rPr>
          <w:lang w:val="fr-FR"/>
        </w:rPr>
        <w:t>11</w:t>
      </w:r>
      <w:r w:rsidR="00CE27F4" w:rsidRPr="00351C3B">
        <w:rPr>
          <w:lang w:val="fr-FR"/>
        </w:rPr>
        <w:t> </w:t>
      </w:r>
      <w:r w:rsidRPr="00351C3B">
        <w:rPr>
          <w:lang w:val="fr-FR"/>
        </w:rPr>
        <w:t>%), plus contenue pour le Maroc (-</w:t>
      </w:r>
      <w:r w:rsidR="00CE27F4" w:rsidRPr="00351C3B">
        <w:rPr>
          <w:lang w:val="fr-FR"/>
        </w:rPr>
        <w:t> </w:t>
      </w:r>
      <w:r w:rsidRPr="00351C3B">
        <w:rPr>
          <w:lang w:val="fr-FR"/>
        </w:rPr>
        <w:t>4,5</w:t>
      </w:r>
      <w:r w:rsidR="00CE27F4" w:rsidRPr="00351C3B">
        <w:rPr>
          <w:lang w:val="fr-FR"/>
        </w:rPr>
        <w:t> </w:t>
      </w:r>
      <w:r w:rsidRPr="00351C3B">
        <w:rPr>
          <w:lang w:val="fr-FR"/>
        </w:rPr>
        <w:t xml:space="preserve">%). </w:t>
      </w:r>
    </w:p>
    <w:p w14:paraId="6D438FB1" w14:textId="6AFCBE0C" w:rsidR="003A2F03" w:rsidRPr="00351C3B" w:rsidRDefault="00B1014C">
      <w:pPr>
        <w:jc w:val="both"/>
        <w:rPr>
          <w:lang w:val="fr-FR"/>
        </w:rPr>
      </w:pPr>
      <w:r w:rsidRPr="00351C3B">
        <w:rPr>
          <w:lang w:val="fr-FR"/>
        </w:rPr>
        <w:t xml:space="preserve">Les données relatives aux </w:t>
      </w:r>
      <w:r w:rsidR="00CB275C">
        <w:rPr>
          <w:lang w:val="fr-FR"/>
        </w:rPr>
        <w:t>P</w:t>
      </w:r>
      <w:r w:rsidRPr="00351C3B">
        <w:rPr>
          <w:lang w:val="fr-FR"/>
        </w:rPr>
        <w:t>ays méditerranéens, fournies par le Bureau de recherche de FederUnacoma, ont été présentées cet après-midi par</w:t>
      </w:r>
      <w:r w:rsidR="00C61FFD" w:rsidRPr="00351C3B">
        <w:rPr>
          <w:lang w:val="fr-FR"/>
        </w:rPr>
        <w:t xml:space="preserve"> Simona Rapastella, </w:t>
      </w:r>
      <w:r w:rsidRPr="00351C3B">
        <w:rPr>
          <w:lang w:val="fr-FR"/>
        </w:rPr>
        <w:t xml:space="preserve">directrice générale de la fédération, lors d'une conférence de presse qui s'est tenue dans le cadre du salon Enoliexpo. La tendance de l'an dernier, comme on nous l'a expliqué lors de la conférence, met donc en lumière une </w:t>
      </w:r>
      <w:r w:rsidR="00CE27F4" w:rsidRPr="00351C3B">
        <w:rPr>
          <w:lang w:val="fr-FR"/>
        </w:rPr>
        <w:t>« </w:t>
      </w:r>
      <w:r w:rsidRPr="00351C3B">
        <w:rPr>
          <w:lang w:val="fr-FR"/>
        </w:rPr>
        <w:t>Méditerranée à deux vitesses</w:t>
      </w:r>
      <w:r w:rsidR="00CE27F4" w:rsidRPr="00351C3B">
        <w:rPr>
          <w:lang w:val="fr-FR"/>
        </w:rPr>
        <w:t> »</w:t>
      </w:r>
      <w:r w:rsidRPr="00351C3B">
        <w:rPr>
          <w:lang w:val="fr-FR"/>
        </w:rPr>
        <w:t>, les perspectives d'avenir sont</w:t>
      </w:r>
      <w:r w:rsidR="00C61FFD" w:rsidRPr="00351C3B">
        <w:rPr>
          <w:lang w:val="fr-FR"/>
        </w:rPr>
        <w:t xml:space="preserve"> cependant</w:t>
      </w:r>
      <w:r w:rsidRPr="00351C3B">
        <w:rPr>
          <w:lang w:val="fr-FR"/>
        </w:rPr>
        <w:t xml:space="preserve"> prometteuses, puisque les productions typiques de cette région - vin, huile et cultures fruitières et maraîchères à haute valeur ajoutée - conquièrent des espaces de plus en plus importants grâce, </w:t>
      </w:r>
      <w:r w:rsidR="00C61FFD" w:rsidRPr="00351C3B">
        <w:rPr>
          <w:lang w:val="fr-FR"/>
        </w:rPr>
        <w:t>entre autres,</w:t>
      </w:r>
      <w:r w:rsidRPr="00351C3B">
        <w:rPr>
          <w:lang w:val="fr-FR"/>
        </w:rPr>
        <w:t xml:space="preserve"> à de nouveaux modes de consommation alimentaire. Les analystes de marché de la société Exportplanning prédisent qu'entre 2022 et 2025 dans les </w:t>
      </w:r>
      <w:r w:rsidR="00CC37AD">
        <w:rPr>
          <w:lang w:val="fr-FR"/>
        </w:rPr>
        <w:t>P</w:t>
      </w:r>
      <w:r w:rsidRPr="00351C3B">
        <w:rPr>
          <w:lang w:val="fr-FR"/>
        </w:rPr>
        <w:t xml:space="preserve">ays d'Afrique du Nord, les importations de tracteurs pourraient croître significativement justement pour répondre à la demande croissante de technologies de plus en plus adaptées aux cultures spécialisées. </w:t>
      </w:r>
    </w:p>
    <w:p w14:paraId="53EC60A0" w14:textId="321D21D2" w:rsidR="003A2F03" w:rsidRPr="00351C3B" w:rsidRDefault="00B1014C">
      <w:pPr>
        <w:jc w:val="both"/>
        <w:rPr>
          <w:lang w:val="fr-FR"/>
        </w:rPr>
      </w:pPr>
      <w:r w:rsidRPr="00351C3B">
        <w:rPr>
          <w:lang w:val="fr-FR"/>
        </w:rPr>
        <w:t>La région méditerranéenne revêt donc une importance stratégique et doit être favorisée tant dans ses tendances de développement agricole que dans la demande de mécanisation. Cette demande concerne de plus en plus les technologies de nouvelle génération et les systèmes électroniques avancés qui - comme cela a été rappelé lors de la conférence - permettent de mieux répondre aux défis liés à la transition écologique, au changement climatique et à l'exploitation optimale des ressources en eau et en énergie</w:t>
      </w:r>
      <w:r w:rsidR="00C61FFD" w:rsidRPr="00351C3B">
        <w:rPr>
          <w:lang w:val="fr-FR"/>
        </w:rPr>
        <w:t>,</w:t>
      </w:r>
      <w:r w:rsidRPr="00351C3B">
        <w:rPr>
          <w:lang w:val="fr-FR"/>
        </w:rPr>
        <w:t xml:space="preserve"> de plus en plus précieuses.</w:t>
      </w:r>
    </w:p>
    <w:p w14:paraId="037168CD" w14:textId="77777777" w:rsidR="004375AE" w:rsidRDefault="00B1014C">
      <w:pPr>
        <w:jc w:val="both"/>
        <w:rPr>
          <w:lang w:val="fr-FR"/>
        </w:rPr>
      </w:pPr>
      <w:r w:rsidRPr="00351C3B">
        <w:rPr>
          <w:lang w:val="fr-FR"/>
        </w:rPr>
        <w:t>Les salons représentent le lieu idéal pour suivre et promouvoir le développement de la mécanisation agricole. «</w:t>
      </w:r>
      <w:r w:rsidR="00CE27F4" w:rsidRPr="00351C3B">
        <w:rPr>
          <w:lang w:val="fr-FR"/>
        </w:rPr>
        <w:t> </w:t>
      </w:r>
      <w:r w:rsidRPr="00351C3B">
        <w:rPr>
          <w:lang w:val="fr-FR"/>
        </w:rPr>
        <w:t xml:space="preserve">Un salon comme EIMA International, qui propose la plus large gamme de technologies et de solutions pour chaque besoin agricole, a toujours été à l'écoute des productions </w:t>
      </w:r>
    </w:p>
    <w:p w14:paraId="70897002" w14:textId="77777777" w:rsidR="004375AE" w:rsidRDefault="004375AE">
      <w:pPr>
        <w:jc w:val="both"/>
        <w:rPr>
          <w:lang w:val="fr-FR"/>
        </w:rPr>
      </w:pPr>
    </w:p>
    <w:p w14:paraId="47C23A41" w14:textId="77777777" w:rsidR="00EC4868" w:rsidRDefault="00EC4868">
      <w:pPr>
        <w:jc w:val="both"/>
        <w:rPr>
          <w:lang w:val="fr-FR"/>
        </w:rPr>
      </w:pPr>
    </w:p>
    <w:p w14:paraId="2E43C68C" w14:textId="1232F3DE" w:rsidR="003A2F03" w:rsidRPr="00351C3B" w:rsidRDefault="00B1014C">
      <w:pPr>
        <w:jc w:val="both"/>
        <w:rPr>
          <w:lang w:val="fr-FR"/>
        </w:rPr>
      </w:pPr>
      <w:r w:rsidRPr="00351C3B">
        <w:rPr>
          <w:lang w:val="fr-FR"/>
        </w:rPr>
        <w:lastRenderedPageBreak/>
        <w:t>méditerranéennes et des cultures spécialisées. Avec ses près de deux mille fabricants et un public qui, lors des dernières éditions, a atteint un nombre d'environ 300</w:t>
      </w:r>
      <w:r w:rsidR="00CE27F4" w:rsidRPr="00351C3B">
        <w:rPr>
          <w:lang w:val="fr-FR"/>
        </w:rPr>
        <w:t xml:space="preserve"> 000 </w:t>
      </w:r>
      <w:r w:rsidRPr="00351C3B">
        <w:rPr>
          <w:lang w:val="fr-FR"/>
        </w:rPr>
        <w:t>visiteurs, l'exp</w:t>
      </w:r>
      <w:r w:rsidR="00C61FFD" w:rsidRPr="00351C3B">
        <w:rPr>
          <w:lang w:val="fr-FR"/>
        </w:rPr>
        <w:t>o</w:t>
      </w:r>
      <w:r w:rsidRPr="00351C3B">
        <w:rPr>
          <w:lang w:val="fr-FR"/>
        </w:rPr>
        <w:t xml:space="preserve">sition de Bologne est l'un des événements de référence dans le monde - a déclaré Simona Rapastella - mais ce n'est pourtant pas le seul événement stratégique pour la Fédération. En effet, des événements tels qu'Agrilevante, qui reviendra du 5 au 8 octobre 2023, et Enoliexpo, qui se déroule pour la première fois à Bari </w:t>
      </w:r>
      <w:r w:rsidR="00C61FFD" w:rsidRPr="00351C3B">
        <w:rPr>
          <w:lang w:val="fr-FR"/>
        </w:rPr>
        <w:t>en tant qu’</w:t>
      </w:r>
      <w:r w:rsidRPr="00351C3B">
        <w:rPr>
          <w:lang w:val="fr-FR"/>
        </w:rPr>
        <w:t>initiative consacrée aux opérateurs du secteur de l'huile d'olive et du vin, sont de plus en plus importants</w:t>
      </w:r>
      <w:r w:rsidR="00D50DA2" w:rsidRPr="00351C3B">
        <w:rPr>
          <w:lang w:val="fr-FR"/>
        </w:rPr>
        <w:t> »</w:t>
      </w:r>
      <w:r w:rsidRPr="00351C3B">
        <w:rPr>
          <w:lang w:val="fr-FR"/>
        </w:rPr>
        <w:t>. «</w:t>
      </w:r>
      <w:r w:rsidR="00D50DA2" w:rsidRPr="00351C3B">
        <w:rPr>
          <w:lang w:val="fr-FR"/>
        </w:rPr>
        <w:t> </w:t>
      </w:r>
      <w:r w:rsidRPr="00351C3B">
        <w:rPr>
          <w:lang w:val="fr-FR"/>
        </w:rPr>
        <w:t>Des cultures de qualité et d'autres valeurs ajoutées qui - a affirmé Simona Rapastella en conclusion - représentent à certains égards l'âme même de la Méditerranée</w:t>
      </w:r>
      <w:r w:rsidR="00D50DA2" w:rsidRPr="00351C3B">
        <w:rPr>
          <w:lang w:val="fr-FR"/>
        </w:rPr>
        <w:t> </w:t>
      </w:r>
      <w:r w:rsidRPr="00351C3B">
        <w:rPr>
          <w:lang w:val="fr-FR"/>
        </w:rPr>
        <w:t>».</w:t>
      </w:r>
    </w:p>
    <w:p w14:paraId="53C68EEC" w14:textId="0365DF7C" w:rsidR="003A2F03" w:rsidRPr="00351C3B" w:rsidRDefault="003A2F03">
      <w:pPr>
        <w:jc w:val="both"/>
        <w:rPr>
          <w:lang w:val="fr-FR"/>
        </w:rPr>
      </w:pPr>
    </w:p>
    <w:p w14:paraId="763B532A" w14:textId="6AADDA33" w:rsidR="003A2F03" w:rsidRPr="00351C3B" w:rsidRDefault="00B1014C">
      <w:pPr>
        <w:pStyle w:val="P68B1DB1-Normale3"/>
        <w:jc w:val="both"/>
        <w:rPr>
          <w:lang w:val="fr-FR"/>
        </w:rPr>
      </w:pPr>
      <w:r w:rsidRPr="00351C3B">
        <w:rPr>
          <w:lang w:val="fr-FR"/>
        </w:rPr>
        <w:t>Bari, le 10 mars 2022</w:t>
      </w:r>
      <w:bookmarkEnd w:id="0"/>
    </w:p>
    <w:sectPr w:rsidR="003A2F03" w:rsidRPr="00351C3B">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3D772" w14:textId="77777777" w:rsidR="00FB1EED" w:rsidRDefault="00FB1EED">
      <w:r>
        <w:separator/>
      </w:r>
    </w:p>
  </w:endnote>
  <w:endnote w:type="continuationSeparator" w:id="0">
    <w:p w14:paraId="7F9B07C9" w14:textId="77777777" w:rsidR="00FB1EED" w:rsidRDefault="00FB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02DCE" w14:textId="77777777" w:rsidR="00FB1EED" w:rsidRDefault="00FB1EED">
      <w:r>
        <w:separator/>
      </w:r>
    </w:p>
  </w:footnote>
  <w:footnote w:type="continuationSeparator" w:id="0">
    <w:p w14:paraId="45E9573B" w14:textId="77777777" w:rsidR="00FB1EED" w:rsidRDefault="00FB1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3A2F03" w:rsidRDefault="00FB1EED">
    <w:pPr>
      <w:pStyle w:val="Intestazione"/>
      <w:tabs>
        <w:tab w:val="clear" w:pos="9638"/>
        <w:tab w:val="right" w:pos="7485"/>
      </w:tabs>
    </w:pPr>
    <w:sdt>
      <w:sdtPr>
        <w:id w:val="-1786807496"/>
        <w:docPartObj>
          <w:docPartGallery w:val="Page Numbers (Margins)"/>
          <w:docPartUnique/>
        </w:docPartObj>
      </w:sdtPr>
      <w:sdtEndPr/>
      <w:sdtContent>
        <w:r w:rsidR="00B1014C">
          <w:rPr>
            <w:noProof/>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3A2F03" w:rsidRDefault="00B1014C">
                                <w:pPr>
                                  <w:pStyle w:val="P68B1DB1-Intestazione4"/>
                                  <w:jc w:val="center"/>
                                </w:pPr>
                                <w:r>
                                  <w:fldChar w:fldCharType="begin"/>
                                </w:r>
                                <w:r>
                                  <w:instrText>PAGE    \* MERGEFORMAT</w:instrText>
                                </w:r>
                                <w:r>
                                  <w:fldChar w:fldCharType="separate"/>
                                </w:r>
                                <w:r>
                                  <w:rPr>
                                    <w:rStyle w:val="Numeropagina"/>
                                    <w:b/>
                                    <w:color w:val="3F3151" w:themeColor="accent4" w:themeShade="7F"/>
                                    <w:sz w:val="16"/>
                                  </w:rPr>
                                  <w:t>1</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3A2F03" w:rsidRDefault="00B1014C">
                          <w:pPr>
                            <w:pStyle w:val="P68B1DB1-Intestazione4"/>
                            <w:jc w:val="center"/>
                          </w:pPr>
                          <w:r>
                            <w:fldChar w:fldCharType="begin"/>
                          </w:r>
                          <w:r>
                            <w:instrText>PAGE    \* MERGEFORMAT</w:instrText>
                          </w:r>
                          <w:r>
                            <w:fldChar w:fldCharType="separate"/>
                          </w:r>
                          <w:r>
                            <w:rPr>
                              <w:rStyle w:val="Numeropagina"/>
                              <w:b/>
                              <w:color w:val="3F3151" w:themeColor="accent4" w:themeShade="7F"/>
                              <w:sz w:val="16"/>
                            </w:rPr>
                            <w:t>1</w:t>
                          </w:r>
                          <w:r>
                            <w:rPr>
                              <w:rStyle w:val="Numeropa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B1014C">
      <w:rPr>
        <w:noProof/>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AB11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B1014C">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B1014C">
      <w:rPr>
        <w:noProof/>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3A2F03" w:rsidRDefault="00B1014C">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3A2F03" w:rsidRDefault="00B1014C">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B5ABC"/>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B7BCE"/>
    <w:rsid w:val="002D274C"/>
    <w:rsid w:val="002F353D"/>
    <w:rsid w:val="003076AD"/>
    <w:rsid w:val="003241F7"/>
    <w:rsid w:val="00330ADB"/>
    <w:rsid w:val="00351C3B"/>
    <w:rsid w:val="00354D28"/>
    <w:rsid w:val="00361F16"/>
    <w:rsid w:val="00363902"/>
    <w:rsid w:val="00364712"/>
    <w:rsid w:val="00370F76"/>
    <w:rsid w:val="00371FC4"/>
    <w:rsid w:val="00395CEF"/>
    <w:rsid w:val="003A2F03"/>
    <w:rsid w:val="003A5287"/>
    <w:rsid w:val="003B358C"/>
    <w:rsid w:val="003B4387"/>
    <w:rsid w:val="003B7D16"/>
    <w:rsid w:val="003C6A3B"/>
    <w:rsid w:val="003E7631"/>
    <w:rsid w:val="003F68D0"/>
    <w:rsid w:val="003F799E"/>
    <w:rsid w:val="00406182"/>
    <w:rsid w:val="00412B9F"/>
    <w:rsid w:val="00425BB9"/>
    <w:rsid w:val="00430FFB"/>
    <w:rsid w:val="004330CB"/>
    <w:rsid w:val="004375AE"/>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247F4"/>
    <w:rsid w:val="00531CA3"/>
    <w:rsid w:val="005363D1"/>
    <w:rsid w:val="00541D2D"/>
    <w:rsid w:val="00560CC7"/>
    <w:rsid w:val="005646BB"/>
    <w:rsid w:val="005760BB"/>
    <w:rsid w:val="00577457"/>
    <w:rsid w:val="00592561"/>
    <w:rsid w:val="005A5F9E"/>
    <w:rsid w:val="005B2322"/>
    <w:rsid w:val="005B51B0"/>
    <w:rsid w:val="005B5F74"/>
    <w:rsid w:val="005B649F"/>
    <w:rsid w:val="005C1824"/>
    <w:rsid w:val="005C4F52"/>
    <w:rsid w:val="005E71D7"/>
    <w:rsid w:val="006063EA"/>
    <w:rsid w:val="006071AE"/>
    <w:rsid w:val="006121B5"/>
    <w:rsid w:val="00622248"/>
    <w:rsid w:val="0062254E"/>
    <w:rsid w:val="006235D9"/>
    <w:rsid w:val="00626EBC"/>
    <w:rsid w:val="00643058"/>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675CC"/>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4547"/>
    <w:rsid w:val="0093426C"/>
    <w:rsid w:val="0093775C"/>
    <w:rsid w:val="0097010F"/>
    <w:rsid w:val="00970BE4"/>
    <w:rsid w:val="00971E4E"/>
    <w:rsid w:val="00977927"/>
    <w:rsid w:val="00987152"/>
    <w:rsid w:val="009913A8"/>
    <w:rsid w:val="009A1C8E"/>
    <w:rsid w:val="009C0F34"/>
    <w:rsid w:val="009C2022"/>
    <w:rsid w:val="009E2168"/>
    <w:rsid w:val="009F23FD"/>
    <w:rsid w:val="00A00A57"/>
    <w:rsid w:val="00A11260"/>
    <w:rsid w:val="00A20F14"/>
    <w:rsid w:val="00A25511"/>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01E2"/>
    <w:rsid w:val="00AF167E"/>
    <w:rsid w:val="00AF1E29"/>
    <w:rsid w:val="00B032D7"/>
    <w:rsid w:val="00B1014C"/>
    <w:rsid w:val="00B21437"/>
    <w:rsid w:val="00B254EA"/>
    <w:rsid w:val="00B45FD1"/>
    <w:rsid w:val="00B50277"/>
    <w:rsid w:val="00B51775"/>
    <w:rsid w:val="00B535FE"/>
    <w:rsid w:val="00B90224"/>
    <w:rsid w:val="00BA004C"/>
    <w:rsid w:val="00BA1DF9"/>
    <w:rsid w:val="00BC3205"/>
    <w:rsid w:val="00BD4FE9"/>
    <w:rsid w:val="00BE2C5C"/>
    <w:rsid w:val="00BE3E13"/>
    <w:rsid w:val="00C03358"/>
    <w:rsid w:val="00C111DE"/>
    <w:rsid w:val="00C15314"/>
    <w:rsid w:val="00C16E54"/>
    <w:rsid w:val="00C21717"/>
    <w:rsid w:val="00C3470B"/>
    <w:rsid w:val="00C37925"/>
    <w:rsid w:val="00C41688"/>
    <w:rsid w:val="00C42C0C"/>
    <w:rsid w:val="00C4482E"/>
    <w:rsid w:val="00C577D6"/>
    <w:rsid w:val="00C61FFD"/>
    <w:rsid w:val="00C73E59"/>
    <w:rsid w:val="00C83B9F"/>
    <w:rsid w:val="00C871ED"/>
    <w:rsid w:val="00C903D4"/>
    <w:rsid w:val="00C92828"/>
    <w:rsid w:val="00C93831"/>
    <w:rsid w:val="00C93CB2"/>
    <w:rsid w:val="00CA1EB3"/>
    <w:rsid w:val="00CA2657"/>
    <w:rsid w:val="00CB275C"/>
    <w:rsid w:val="00CC1C6F"/>
    <w:rsid w:val="00CC37AD"/>
    <w:rsid w:val="00CC47D8"/>
    <w:rsid w:val="00CD1D60"/>
    <w:rsid w:val="00CD3565"/>
    <w:rsid w:val="00CD3C7A"/>
    <w:rsid w:val="00CE27F4"/>
    <w:rsid w:val="00CF7C28"/>
    <w:rsid w:val="00CF7CB3"/>
    <w:rsid w:val="00D134AB"/>
    <w:rsid w:val="00D14B88"/>
    <w:rsid w:val="00D15837"/>
    <w:rsid w:val="00D406B4"/>
    <w:rsid w:val="00D4217A"/>
    <w:rsid w:val="00D50DA2"/>
    <w:rsid w:val="00D54242"/>
    <w:rsid w:val="00D560A4"/>
    <w:rsid w:val="00D616AE"/>
    <w:rsid w:val="00D6602B"/>
    <w:rsid w:val="00D722A1"/>
    <w:rsid w:val="00DC1CB4"/>
    <w:rsid w:val="00DE3A07"/>
    <w:rsid w:val="00DE4119"/>
    <w:rsid w:val="00DF254C"/>
    <w:rsid w:val="00E018ED"/>
    <w:rsid w:val="00E264AA"/>
    <w:rsid w:val="00E2650D"/>
    <w:rsid w:val="00E273DF"/>
    <w:rsid w:val="00E554B1"/>
    <w:rsid w:val="00E7611F"/>
    <w:rsid w:val="00E76A4B"/>
    <w:rsid w:val="00E80F2F"/>
    <w:rsid w:val="00E946DA"/>
    <w:rsid w:val="00E95EA3"/>
    <w:rsid w:val="00EB3652"/>
    <w:rsid w:val="00EC4868"/>
    <w:rsid w:val="00EC5741"/>
    <w:rsid w:val="00F1367E"/>
    <w:rsid w:val="00F46B54"/>
    <w:rsid w:val="00F50302"/>
    <w:rsid w:val="00F52270"/>
    <w:rsid w:val="00F7014D"/>
    <w:rsid w:val="00F701F5"/>
    <w:rsid w:val="00F7049E"/>
    <w:rsid w:val="00F7699D"/>
    <w:rsid w:val="00F8241D"/>
    <w:rsid w:val="00F96485"/>
    <w:rsid w:val="00FB1EED"/>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customStyle="1" w:styleId="P68B1DB1-Normale1">
    <w:name w:val="P68B1DB1-Normale1"/>
    <w:basedOn w:val="Normale"/>
    <w:rPr>
      <w:b/>
      <w:sz w:val="28"/>
    </w:rPr>
  </w:style>
  <w:style w:type="paragraph" w:customStyle="1" w:styleId="P68B1DB1-Normale2">
    <w:name w:val="P68B1DB1-Normale2"/>
    <w:basedOn w:val="Normale"/>
    <w:rPr>
      <w:b/>
      <w:i/>
    </w:rPr>
  </w:style>
  <w:style w:type="paragraph" w:customStyle="1" w:styleId="P68B1DB1-Normale3">
    <w:name w:val="P68B1DB1-Normale3"/>
    <w:basedOn w:val="Normale"/>
    <w:rPr>
      <w:b/>
    </w:rPr>
  </w:style>
  <w:style w:type="paragraph" w:customStyle="1" w:styleId="P68B1DB1-Intestazione4">
    <w:name w:val="P68B1DB1-Intestazione4"/>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4CCD1-C335-49E5-B363-E0C1A896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655</Words>
  <Characters>3734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Claudia</cp:lastModifiedBy>
  <cp:revision>17</cp:revision>
  <cp:lastPrinted>2020-11-02T16:06:00Z</cp:lastPrinted>
  <dcterms:created xsi:type="dcterms:W3CDTF">2022-03-08T20:22:00Z</dcterms:created>
  <dcterms:modified xsi:type="dcterms:W3CDTF">2022-03-11T11:13:00Z</dcterms:modified>
</cp:coreProperties>
</file>